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40921" w14:textId="77777777" w:rsidR="00F4294B" w:rsidRPr="00803838" w:rsidRDefault="00F4294B" w:rsidP="00F4294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bookmarkStart w:id="0" w:name="_GoBack"/>
      <w:bookmarkEnd w:id="0"/>
      <w:r w:rsidRPr="00803838">
        <w:rPr>
          <w:rFonts w:ascii="Times New Roman" w:hAnsi="Times New Roman" w:cs="Times New Roman"/>
          <w:color w:val="auto"/>
          <w:sz w:val="24"/>
          <w:szCs w:val="24"/>
          <w:lang w:val="ru-RU"/>
        </w:rPr>
        <w:t>Пример заполнения кейса</w:t>
      </w:r>
    </w:p>
    <w:p w14:paraId="557F1ACB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i/>
          <w:szCs w:val="24"/>
          <w:lang w:val="ru-RU"/>
        </w:rPr>
        <w:t>Пример является учебным. Все наименования, исходные показатели и расчётные ограничения условны. Пример оформлен последовательно по всем пунктам расширенного шаблона.</w:t>
      </w:r>
    </w:p>
    <w:p w14:paraId="0833B57E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1. Название кейса</w:t>
      </w:r>
    </w:p>
    <w:p w14:paraId="42C64AC9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Снижение энергопотребления системы освещения учебно-производственной лаборатории.</w:t>
      </w:r>
    </w:p>
    <w:p w14:paraId="4C2FDAB5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2. Паспорт кейса</w:t>
      </w:r>
    </w:p>
    <w:p w14:paraId="62E63BDA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Организация-заказчик — учебно-производственный центр организации-партнёра. Направление — энергетика, автоматизация и бережливое производство. Рекомендуемая секция — «Технические проекты»; при индивидуальном выполнении школьником 7–11 класса — «Лучшие школьные индивидуальные проекты». Участники — обучающиеся 9–11 классов и студенты 1–2 курсов. Формат — команда из 3–5 человек или индивидуальный проект. Уровень сложности — средний. Место выполнения — образовательная организация и учебная лаборатория Университета. Продолжительность — с 10 октября 2026 года по март 2027 года. Допустимое количество команд — не более пяти.</w:t>
      </w:r>
    </w:p>
    <w:p w14:paraId="3592FBD4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3. Организация и контекст</w:t>
      </w:r>
    </w:p>
    <w:p w14:paraId="62D3C17D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Учебно-производственная лаборатория используется для практических занятий по электротехнике и автоматизации. Помещение условной площадью 120 м² разделено на три рабочие зоны. Освещение всех зон включается одним выключателем, хотя одновременно обычно используется только одна или две зоны.</w:t>
      </w:r>
    </w:p>
    <w:p w14:paraId="70B2D191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4. Проблемная ситуация</w:t>
      </w:r>
    </w:p>
    <w:p w14:paraId="171E9CDE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Единое управление освещением приводит к работе всех светильников независимо от фактической занятости зон. В помещении условно установлено 24 светодиодных светильника мощностью 72 Вт каждый. Освещение используется в среднем 8 часов в день в течение 180 учебных дней. Необходимо снизить избыточное потребление электроэнергии без ухудшения условий работы и безопасности.</w:t>
      </w:r>
    </w:p>
    <w:p w14:paraId="0C74A76D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5. Исходные данные</w:t>
      </w:r>
    </w:p>
    <w:p w14:paraId="7247AB9B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 xml:space="preserve">Участникам предоставляются: план помещения в формате </w:t>
      </w:r>
      <w:r w:rsidRPr="00803838">
        <w:rPr>
          <w:rFonts w:cs="Times New Roman"/>
          <w:szCs w:val="24"/>
        </w:rPr>
        <w:t>PDF</w:t>
      </w:r>
      <w:r w:rsidRPr="00803838">
        <w:rPr>
          <w:rFonts w:cs="Times New Roman"/>
          <w:szCs w:val="24"/>
          <w:lang w:val="ru-RU"/>
        </w:rPr>
        <w:t xml:space="preserve"> с размерами и расположением рабочих мест; условная схема существующей сети; перечень 24 светильников; график использования трёх зон; результаты контрольных измерений освещённости; условный тариф на электрическую энергию; выдержки из применимых требований к освещению. Все производственные показатели являются учебными и могут использоваться только в рамках Конкурса.</w:t>
      </w:r>
    </w:p>
    <w:p w14:paraId="428F3D30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6. Цель кейса</w:t>
      </w:r>
    </w:p>
    <w:p w14:paraId="0C2B393A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К 31 марта 2027 года разработать и обосновать техническое решение по зонированию и автоматическому управлению освещением, обеспечивающее расчётное снижение годового энергопотребления не менее чем на 20% при сохранении заданного уровня освещённости в используемых рабочих зонах.</w:t>
      </w:r>
    </w:p>
    <w:p w14:paraId="713F10ED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7. Задачи участников</w:t>
      </w:r>
    </w:p>
    <w:p w14:paraId="1B795068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 xml:space="preserve">1) проверить полноту исходных данных и сформировать перечень допущений; 2) рассчитать существующее годовое энергопотребление; 3) изучить требования к освещённости рабочих зон; 4) предложить не менее двух вариантов управления; 5) сравнить варианты по энергосбережению, стоимости, надёжности и безопасности; 6) разработать схему выбранного решения и спецификацию; 7) изготовить безопасный демонстрационный </w:t>
      </w:r>
      <w:r w:rsidRPr="00803838">
        <w:rPr>
          <w:rFonts w:cs="Times New Roman"/>
          <w:szCs w:val="24"/>
          <w:lang w:val="ru-RU"/>
        </w:rPr>
        <w:lastRenderedPageBreak/>
        <w:t>макет или цифровую модель; 8) провести проверку и подготовить рекомендации по дальнейшей проработке.</w:t>
      </w:r>
    </w:p>
    <w:p w14:paraId="180E6672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8. Ожидаемый продукт</w:t>
      </w:r>
    </w:p>
    <w:p w14:paraId="7B7CF3E2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 xml:space="preserve">Обязательные результаты: отчёт; план зонирования; принципиальная или функциональная схема; расчётная таблица «существующее состояние — предлагаемый вариант» с открытыми формулами; спецификация оборудования; оценка ориентировочной стоимости и срока окупаемости; презентация. Дополнительный результат — действующий макет </w:t>
      </w:r>
      <w:proofErr w:type="spellStart"/>
      <w:r w:rsidRPr="00803838">
        <w:rPr>
          <w:rFonts w:cs="Times New Roman"/>
          <w:szCs w:val="24"/>
          <w:lang w:val="ru-RU"/>
        </w:rPr>
        <w:t>трёхзонного</w:t>
      </w:r>
      <w:proofErr w:type="spellEnd"/>
      <w:r w:rsidRPr="00803838">
        <w:rPr>
          <w:rFonts w:cs="Times New Roman"/>
          <w:szCs w:val="24"/>
          <w:lang w:val="ru-RU"/>
        </w:rPr>
        <w:t xml:space="preserve"> управления или цифровая имитационная модель.</w:t>
      </w:r>
    </w:p>
    <w:p w14:paraId="03A52874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9. Обязательные требования и критерии приёмки</w:t>
      </w:r>
    </w:p>
    <w:p w14:paraId="720DADA6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Расчётное снижение годового энергопотребления должно составлять не менее 20%. Освещение каждой используемой зоны должно соответствовать заданному в исходных данных уровню. Решение должно предусматривать ручное включение и возможность автоматического управления. Расчёты должны быть воспроизводимыми. Схема должна содержать условные обозначения, пояснения и спецификацию. Макет должен демонстрировать раздельное управление не менее чем тремя зонами.</w:t>
      </w:r>
    </w:p>
    <w:p w14:paraId="11CBAC66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10. Ограничения и допущения</w:t>
      </w:r>
    </w:p>
    <w:p w14:paraId="4DA17888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 xml:space="preserve">Участники не выполняют монтаж на действующем объекте и не работают с сетевым напряжением 220 В. Демонстрационный макет питается от безопасного источника напряжением </w:t>
      </w:r>
      <w:proofErr w:type="gramStart"/>
      <w:r w:rsidRPr="00803838">
        <w:rPr>
          <w:rFonts w:cs="Times New Roman"/>
          <w:szCs w:val="24"/>
          <w:lang w:val="ru-RU"/>
        </w:rPr>
        <w:t>не более 12</w:t>
      </w:r>
      <w:proofErr w:type="gramEnd"/>
      <w:r w:rsidRPr="00803838">
        <w:rPr>
          <w:rFonts w:cs="Times New Roman"/>
          <w:szCs w:val="24"/>
          <w:lang w:val="ru-RU"/>
        </w:rPr>
        <w:t xml:space="preserve"> В. Расчёт выполняется на условных исходных данных. Цены оборудования фиксируются по состоянию на 1 февраля 2027 года и подтверждаются ссылками. Предельный условный бюджет решения — 150 000 рублей.</w:t>
      </w:r>
    </w:p>
    <w:p w14:paraId="4699CB14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11. Ресурсы</w:t>
      </w:r>
    </w:p>
    <w:p w14:paraId="151097A8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Организация-заказчик предоставляет учебные исходные данные и одну консультацию в месяц. Университет по согласованию предоставляет место для консультаций, люксметр и помощь в проверке макета. Участники могут использовать бесплатные или учебные версии САПР, табличный процессор, программы моделирования электрических схем, открытые нормативные и справочные материалы. Расходные материалы для макета согласуются с руководителем проекта.</w:t>
      </w:r>
    </w:p>
    <w:p w14:paraId="3896D642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12. Этапы и контрольные точки</w:t>
      </w:r>
    </w:p>
    <w:p w14:paraId="0DA66DBC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9 октября 2026 года — представление кейса на Ярмарке проектов. До 23 октября 2026 года — регистрация и уточнение постановки задачи. До 18 декабря 2026 года — представление анализа исходных данных и не менее двух концептуальных вариантов. До 19 февраля 2027 года — передача предварительного расчёта, схемы и спецификации. До 19 марта 2027 года — демонстрация макета или модели и результатов проверки. До 31 марта 2027 года — сдача итоговых материалов. 16 апреля 2027 года — публичная защита.</w:t>
      </w:r>
    </w:p>
    <w:p w14:paraId="44CC6AE9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13. Сопровождение</w:t>
      </w:r>
    </w:p>
    <w:p w14:paraId="712E4D86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 xml:space="preserve">Куратор от организации-заказчика — инженер службы главного энергетика. Консультации проводятся дистанционно или очно не чаще одного раза в месяц продолжительностью до 45 минут. Вопросы направляются на функциональный адрес </w:t>
      </w:r>
      <w:r w:rsidRPr="00803838">
        <w:rPr>
          <w:rFonts w:cs="Times New Roman"/>
          <w:szCs w:val="24"/>
        </w:rPr>
        <w:t>project</w:t>
      </w:r>
      <w:r w:rsidRPr="00803838">
        <w:rPr>
          <w:rFonts w:cs="Times New Roman"/>
          <w:szCs w:val="24"/>
          <w:lang w:val="ru-RU"/>
        </w:rPr>
        <w:t>-</w:t>
      </w:r>
      <w:r w:rsidRPr="00803838">
        <w:rPr>
          <w:rFonts w:cs="Times New Roman"/>
          <w:szCs w:val="24"/>
        </w:rPr>
        <w:t>energy</w:t>
      </w:r>
      <w:r w:rsidRPr="00803838">
        <w:rPr>
          <w:rFonts w:cs="Times New Roman"/>
          <w:szCs w:val="24"/>
          <w:lang w:val="ru-RU"/>
        </w:rPr>
        <w:t>@</w:t>
      </w:r>
      <w:r w:rsidRPr="00803838">
        <w:rPr>
          <w:rFonts w:cs="Times New Roman"/>
          <w:szCs w:val="24"/>
        </w:rPr>
        <w:t>organization</w:t>
      </w:r>
      <w:r w:rsidRPr="00803838">
        <w:rPr>
          <w:rFonts w:cs="Times New Roman"/>
          <w:szCs w:val="24"/>
          <w:lang w:val="ru-RU"/>
        </w:rPr>
        <w:t>.</w:t>
      </w:r>
      <w:r w:rsidRPr="00803838">
        <w:rPr>
          <w:rFonts w:cs="Times New Roman"/>
          <w:szCs w:val="24"/>
        </w:rPr>
        <w:t>example</w:t>
      </w:r>
      <w:r w:rsidRPr="00803838">
        <w:rPr>
          <w:rFonts w:cs="Times New Roman"/>
          <w:szCs w:val="24"/>
          <w:lang w:val="ru-RU"/>
        </w:rPr>
        <w:t xml:space="preserve"> не позднее чем за три рабочих дня до консультации. Руководитель от образовательной организации координирует работу и контролирует соблюдение требований безопасности.</w:t>
      </w:r>
    </w:p>
    <w:p w14:paraId="18610891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14. Безопасность и доступ</w:t>
      </w:r>
    </w:p>
    <w:p w14:paraId="5D9251F4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 xml:space="preserve">Посещение лаборатории допускается организованной группой в сопровождении руководителя после инструктажа. Участники не открывают электрические шкафы, не подключаются к действующей сети и не выполняют монтажные работы. Фото- и </w:t>
      </w:r>
      <w:r w:rsidRPr="00803838">
        <w:rPr>
          <w:rFonts w:cs="Times New Roman"/>
          <w:szCs w:val="24"/>
          <w:lang w:val="ru-RU"/>
        </w:rPr>
        <w:lastRenderedPageBreak/>
        <w:t>видеосъёмка разрешается только в согласованных зонах. Все испытания макета проводятся при напряжении не выше 12 В.</w:t>
      </w:r>
    </w:p>
    <w:p w14:paraId="515EEF15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15. Конфиденциальность и данные</w:t>
      </w:r>
    </w:p>
    <w:p w14:paraId="4206D29E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В кейсе используются только условные и обезличенные данные. Реальные показатели энергопотребления, внутренние схемы и сведения о режиме работы организации не предоставляются и не публикуются. Загружать полученные от заказчика файлы в общедоступные хранилища и внешние системы искусственного интеллекта без разрешения запрещается.</w:t>
      </w:r>
    </w:p>
    <w:p w14:paraId="1ACAD702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16. Использование результата</w:t>
      </w:r>
    </w:p>
    <w:p w14:paraId="72A738DF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Лучшие решения будут рассмотрены специалистами организации-заказчика как учебные предложения. Отдельные технические идеи могут быть включены в банк инициатив или направлены на дополнительный расчёт. Практическое внедрение не гарантируется и возможно только после профессионального проектирования, проверки безопасности и отдельного согласования прав на результат.</w:t>
      </w:r>
    </w:p>
    <w:p w14:paraId="143DB85A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17. Экспертиза со стороны работодателя</w:t>
      </w:r>
    </w:p>
    <w:p w14:paraId="1ED6198F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В экспертной оценке рекомендуется участие инженера-энергетика и специалиста по автоматизации. Особое внимание уделяется корректности исходных допущений; соответствию схемы требованиям безопасности; воспроизводимости расчёта; реалистичности стоимости; удобству эксплуатации; обоснованности заявленного энергосберегающего эффекта.</w:t>
      </w:r>
    </w:p>
    <w:p w14:paraId="169F33A8" w14:textId="77777777" w:rsidR="00F4294B" w:rsidRPr="00803838" w:rsidRDefault="00F4294B" w:rsidP="00F4294B">
      <w:pPr>
        <w:ind w:firstLine="0"/>
        <w:rPr>
          <w:rFonts w:cs="Times New Roman"/>
          <w:szCs w:val="24"/>
          <w:lang w:val="ru-RU"/>
        </w:rPr>
      </w:pPr>
      <w:r w:rsidRPr="00803838">
        <w:rPr>
          <w:rFonts w:cs="Times New Roman"/>
          <w:b/>
          <w:szCs w:val="24"/>
          <w:lang w:val="ru-RU"/>
        </w:rPr>
        <w:t>18. Приложения к кейсу</w:t>
      </w:r>
    </w:p>
    <w:p w14:paraId="748D6A0D" w14:textId="77777777" w:rsidR="00F4294B" w:rsidRPr="00803838" w:rsidRDefault="00F4294B" w:rsidP="00F4294B">
      <w:pPr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К кейсу прилагаются: 01_План_лаборатории_</w:t>
      </w:r>
      <w:r w:rsidRPr="00803838">
        <w:rPr>
          <w:rFonts w:cs="Times New Roman"/>
          <w:szCs w:val="24"/>
        </w:rPr>
        <w:t>v</w:t>
      </w:r>
      <w:r w:rsidRPr="00803838">
        <w:rPr>
          <w:rFonts w:cs="Times New Roman"/>
          <w:szCs w:val="24"/>
          <w:lang w:val="ru-RU"/>
        </w:rPr>
        <w:t>1_2026-10-09.</w:t>
      </w:r>
      <w:r w:rsidRPr="00803838">
        <w:rPr>
          <w:rFonts w:cs="Times New Roman"/>
          <w:szCs w:val="24"/>
        </w:rPr>
        <w:t>pdf</w:t>
      </w:r>
      <w:r w:rsidRPr="00803838">
        <w:rPr>
          <w:rFonts w:cs="Times New Roman"/>
          <w:szCs w:val="24"/>
          <w:lang w:val="ru-RU"/>
        </w:rPr>
        <w:t>; 02_Исходные_данные_освещение_</w:t>
      </w:r>
      <w:r w:rsidRPr="00803838">
        <w:rPr>
          <w:rFonts w:cs="Times New Roman"/>
          <w:szCs w:val="24"/>
        </w:rPr>
        <w:t>v</w:t>
      </w:r>
      <w:r w:rsidRPr="00803838">
        <w:rPr>
          <w:rFonts w:cs="Times New Roman"/>
          <w:szCs w:val="24"/>
          <w:lang w:val="ru-RU"/>
        </w:rPr>
        <w:t>1_2026-10-09.</w:t>
      </w:r>
      <w:r w:rsidRPr="00803838">
        <w:rPr>
          <w:rFonts w:cs="Times New Roman"/>
          <w:szCs w:val="24"/>
        </w:rPr>
        <w:t>xlsx</w:t>
      </w:r>
      <w:r w:rsidRPr="00803838">
        <w:rPr>
          <w:rFonts w:cs="Times New Roman"/>
          <w:szCs w:val="24"/>
          <w:lang w:val="ru-RU"/>
        </w:rPr>
        <w:t>; 03_Условная_схема_</w:t>
      </w:r>
      <w:r w:rsidRPr="00803838">
        <w:rPr>
          <w:rFonts w:cs="Times New Roman"/>
          <w:szCs w:val="24"/>
        </w:rPr>
        <w:t>v</w:t>
      </w:r>
      <w:r w:rsidRPr="00803838">
        <w:rPr>
          <w:rFonts w:cs="Times New Roman"/>
          <w:szCs w:val="24"/>
          <w:lang w:val="ru-RU"/>
        </w:rPr>
        <w:t>1_2026-10-09.</w:t>
      </w:r>
      <w:r w:rsidRPr="00803838">
        <w:rPr>
          <w:rFonts w:cs="Times New Roman"/>
          <w:szCs w:val="24"/>
        </w:rPr>
        <w:t>pdf</w:t>
      </w:r>
      <w:r w:rsidRPr="00803838">
        <w:rPr>
          <w:rFonts w:cs="Times New Roman"/>
          <w:szCs w:val="24"/>
          <w:lang w:val="ru-RU"/>
        </w:rPr>
        <w:t>; 04_Требования_к_освещенности_2026-10-09.</w:t>
      </w:r>
      <w:r w:rsidRPr="00803838">
        <w:rPr>
          <w:rFonts w:cs="Times New Roman"/>
          <w:szCs w:val="24"/>
        </w:rPr>
        <w:t>pdf</w:t>
      </w:r>
      <w:r w:rsidRPr="00803838">
        <w:rPr>
          <w:rFonts w:cs="Times New Roman"/>
          <w:szCs w:val="24"/>
          <w:lang w:val="ru-RU"/>
        </w:rPr>
        <w:t>; 05_Форма_промежуточного_отчета_</w:t>
      </w:r>
      <w:r w:rsidRPr="00803838">
        <w:rPr>
          <w:rFonts w:cs="Times New Roman"/>
          <w:szCs w:val="24"/>
        </w:rPr>
        <w:t>v</w:t>
      </w:r>
      <w:r w:rsidRPr="00803838">
        <w:rPr>
          <w:rFonts w:cs="Times New Roman"/>
          <w:szCs w:val="24"/>
          <w:lang w:val="ru-RU"/>
        </w:rPr>
        <w:t>1.</w:t>
      </w:r>
      <w:r w:rsidRPr="00803838">
        <w:rPr>
          <w:rFonts w:cs="Times New Roman"/>
          <w:szCs w:val="24"/>
        </w:rPr>
        <w:t>docx</w:t>
      </w:r>
      <w:r w:rsidRPr="00803838">
        <w:rPr>
          <w:rFonts w:cs="Times New Roman"/>
          <w:szCs w:val="24"/>
          <w:lang w:val="ru-RU"/>
        </w:rPr>
        <w:t>.</w:t>
      </w:r>
    </w:p>
    <w:p w14:paraId="702A7380" w14:textId="77777777" w:rsidR="00F4294B" w:rsidRPr="00803838" w:rsidRDefault="00F4294B" w:rsidP="00F4294B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03838">
        <w:rPr>
          <w:rFonts w:ascii="Times New Roman" w:hAnsi="Times New Roman" w:cs="Times New Roman"/>
          <w:color w:val="auto"/>
          <w:sz w:val="24"/>
          <w:szCs w:val="24"/>
          <w:lang w:val="ru-RU"/>
        </w:rPr>
        <w:t>Проверка качества кейса</w:t>
      </w:r>
    </w:p>
    <w:p w14:paraId="279DDC3A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1) □ Проблема связана с реальной деятельностью организации и понятна участникам.</w:t>
      </w:r>
    </w:p>
    <w:p w14:paraId="6E16781B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2) □ Указаны возраст, формат и допустимое число участников.</w:t>
      </w:r>
    </w:p>
    <w:p w14:paraId="6F0A983F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3) □ Есть достаточные исходные данные или способ их получения.</w:t>
      </w:r>
    </w:p>
    <w:p w14:paraId="047F8D38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4) □ Цель и ожидаемый продукт проверяемы.</w:t>
      </w:r>
    </w:p>
    <w:p w14:paraId="2C595937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5) □ Критерии приёмки измеримы.</w:t>
      </w:r>
    </w:p>
    <w:p w14:paraId="7AC04B79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6) □ Объём выполним в период с октября 2026 года по март 2027 года.</w:t>
      </w:r>
    </w:p>
    <w:p w14:paraId="3E1C5F83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7) □ Названы ресурсы, ограничения и требования безопасности.</w:t>
      </w:r>
    </w:p>
    <w:p w14:paraId="6188F67C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8) □ Определены контрольные точки и формат консультаций.</w:t>
      </w:r>
    </w:p>
    <w:p w14:paraId="5E64E157" w14:textId="77777777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9) □ Не требуется раскрытие конфиденциальных данных.</w:t>
      </w:r>
    </w:p>
    <w:p w14:paraId="43B0EE41" w14:textId="1B403F68" w:rsidR="00F4294B" w:rsidRPr="00803838" w:rsidRDefault="00F4294B" w:rsidP="00F4294B">
      <w:pPr>
        <w:ind w:left="454" w:hanging="454"/>
        <w:rPr>
          <w:rFonts w:cs="Times New Roman"/>
          <w:szCs w:val="24"/>
          <w:lang w:val="ru-RU"/>
        </w:rPr>
      </w:pPr>
      <w:r w:rsidRPr="00803838">
        <w:rPr>
          <w:rFonts w:cs="Times New Roman"/>
          <w:szCs w:val="24"/>
          <w:lang w:val="ru-RU"/>
        </w:rPr>
        <w:t>10) □ Указан реалистичный сценарий использования результата.</w:t>
      </w:r>
    </w:p>
    <w:p w14:paraId="1025F889" w14:textId="77777777" w:rsidR="00F12C76" w:rsidRPr="00F4294B" w:rsidRDefault="00F12C76" w:rsidP="006C0B77">
      <w:pPr>
        <w:rPr>
          <w:lang w:val="ru-RU"/>
        </w:rPr>
      </w:pPr>
    </w:p>
    <w:sectPr w:rsidR="00F12C76" w:rsidRPr="00F4294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4B"/>
    <w:rsid w:val="006C0B77"/>
    <w:rsid w:val="008242FF"/>
    <w:rsid w:val="00870751"/>
    <w:rsid w:val="00922C48"/>
    <w:rsid w:val="00B915B7"/>
    <w:rsid w:val="00EA59DF"/>
    <w:rsid w:val="00EE4070"/>
    <w:rsid w:val="00F12C76"/>
    <w:rsid w:val="00F42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9F88"/>
  <w15:chartTrackingRefBased/>
  <w15:docId w15:val="{75C6F681-F60F-4C82-86B9-B7574C21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94B"/>
    <w:pPr>
      <w:spacing w:after="0" w:line="276" w:lineRule="auto"/>
      <w:ind w:firstLine="709"/>
      <w:jc w:val="both"/>
    </w:pPr>
    <w:rPr>
      <w:rFonts w:ascii="Times New Roman" w:eastAsia="Times New Roman" w:hAnsi="Times New Roman"/>
      <w:sz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4294B"/>
    <w:pPr>
      <w:keepNext/>
      <w:keepLines/>
      <w:spacing w:before="120" w:after="60"/>
      <w:jc w:val="center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4B"/>
    <w:rPr>
      <w:rFonts w:asciiTheme="majorHAnsi" w:eastAsiaTheme="majorEastAsia" w:hAnsiTheme="majorHAnsi" w:cstheme="majorBidi"/>
      <w:b/>
      <w:bCs/>
      <w:color w:val="2F5496" w:themeColor="accent1" w:themeShade="BF"/>
      <w:sz w:val="26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1186</Words>
  <Characters>6761</Characters>
  <Application>Microsoft Office Word</Application>
  <DocSecurity>0</DocSecurity>
  <Lines>56</Lines>
  <Paragraphs>15</Paragraphs>
  <ScaleCrop>false</ScaleCrop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Иванова</dc:creator>
  <cp:keywords/>
  <dc:description/>
  <cp:lastModifiedBy>Елена В. Иванова</cp:lastModifiedBy>
  <cp:revision>1</cp:revision>
  <dcterms:created xsi:type="dcterms:W3CDTF">2026-09-10T10:25:00Z</dcterms:created>
  <dcterms:modified xsi:type="dcterms:W3CDTF">2026-09-10T10:26:00Z</dcterms:modified>
</cp:coreProperties>
</file>